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 xml:space="preserve">TODD GOODMAN has been described as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lang w:val="en-US"/>
        </w:rPr>
        <w:t>one of America</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promising young composers.</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lang w:val="en-US"/>
        </w:rPr>
        <w:t>His works are performed all over the world by a wide variety of players, including principal members of many major symphony orchestras</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Vienna Philharmonic, Chicago, Pittsburgh, Boston, Singapore, Iceland, and Seattle Symphonies. Dr. Goodman has served as the resident composer for The Microscopic Opera Company (2013), the Altoona Symphony Orchestra (2002-2006), the McKeesport Symphony Orchestra (2005-2006), and the Beaver Valley Philharmonic (2006-2007). As an advocate of arts education, Goodman serves as the Chief Academic Officer for the Lincoln Park Performing Arts Center, and he is the creative force behind the development of their arts-centric courseware. Goodman is in constant demand as an educator and was a nominee for the 2014 Grammy Award for Music Education.</w:t>
      </w:r>
    </w:p>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Dr.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awards and grants are numerous. He was awarded the 2014 American Prize for Theater Composition for his opera, Night of the Living Dead [2013]. It was also selected as one of the 2013 Center for Contemporary Opera</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New Works Showcase. In 2011,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 xml:space="preserve">s Trombone Concerto [2011] won the British Trombone Society Composition Award. His Tuba Concerto [2012] was the 2012 North American Tuba Repertoire Initiative Commission, which was also a finalist for the 2012 International Harvey Phillips Award for Excellence in Composition. His Concerto for Bass Clarinet and Orchestra [2008] won third place in the 2011 American Prize for Orchestral Composition. Dr. Goodman has also received grants from the National Endowment for the Arts for his work with the Altoona Symphony Orchestra, the American Music Center for his Concerto for Bass Clarinet and Orchestra, as well as grants from the University of Colorado Entrepreneurship Center for his work, Symphony No. 1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lang w:val="en-US"/>
        </w:rPr>
        <w:t>Fields of Crimson</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lang w:val="en-US"/>
        </w:rPr>
        <w:t>[2003]. Dr. Goodman has also won such notable prizes as the International Project Piccolo Rebirth 2007 Prize for his work Echos: Prelude and Dance [2007] for piccolo and piano, two prestigious Gold Farbe Awards from the University of Colorado film department for his scores to two short films Hypnotic Reverie and Light Autumn by writer/director Ryan McVeigh, and many ASCAPlus Awards.</w:t>
      </w:r>
    </w:p>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Todd Goodman was born in Bedford, Pennsylvania, in 1977. He earned his Bachelor of Music degree in composition from the University of Colorado at Boulder, a Master of Music degree in composition from Duquesne University in Pittsburgh, Pennsylvania, and dual Ph.D.s in theory and composition from Kent State University. He has also studied at l</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ecole normale de musique in Paris, France, with the European American Musical Alliance and at the Aspen Music Festival in Aspen, Colorado. His principal composition teachers have been Pulitzer Prize-winning composer George Tsontakis as well as David Stock, Frank Wiley, and Richard Toensing.</w:t>
      </w:r>
    </w:p>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Todd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available recordings are numerous. In 2019, his work Wanderlust was the title track on Eastern Standard</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debut CD, and his piece Sonata for Solo Bass Trombone was released with bass trombonist Matt Hoormann on Push Records. His Trombone Concerto was included on the 2017 release United on the Hello Stage label, performed by trombonist Peter Steiner and pianist Hsiao Ling Lin. Also in 2017, Ars Laurete released the University of Delaware Wind Ensemble recording of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Trombone Concerto No. 2 with soloist Bruce Tychinski. In 2014 Potenza Music Company included the University of South Florida Orchestra recording of his Concerto for Bass Clarinet and Orchestra with soloist Calvin Falwell and conductor William Weidrich on their release Fine Tune. Also on the Potenza Music Company is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 xml:space="preserve">s Tuba Concerto, recorded by Grammy-nominated tubist Aaron Tindall and pianist Margaret McDonald. His wind ensemble piece River of Sorrows was recorded by the Duquesnse University Wind Symphony and conducted by Robert Cameron and released in 2006 by Duquesne University Press on their release Winds of Summer. The world premiere of his Symphony No. 1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lang w:val="en-US"/>
        </w:rPr>
        <w:t>Fields of Crimson,</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lang w:val="en-US"/>
        </w:rPr>
        <w:t>recorded by the Altoona Symphony Orchestra conducted by Nicholas Palmer, was released through Wrong Note Media, Inc. in July 2003, marking the 140th anniversary of the subject of this work, the battle of Gettysburg. New releases scheduled for 2022 are the world-premiere recordings of the piano reduction to his Trombone Concerto No. 2 by the Portugal Symphony</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pt-PT"/>
        </w:rPr>
        <w:t>s principal trombonist Hugo Assun</w:t>
      </w:r>
      <w:r>
        <w:rPr>
          <w:rFonts w:ascii="Arial Unicode MS" w:cs="Arial Unicode MS" w:hAnsi="Arial Unicode MS" w:eastAsia="Arial Unicode MS" w:hint="default"/>
          <w:b w:val="0"/>
          <w:bCs w:val="0"/>
          <w:i w:val="0"/>
          <w:iCs w:val="0"/>
          <w:rtl w:val="0"/>
          <w:lang w:val="pt-PT"/>
        </w:rPr>
        <w:t>çã</w:t>
      </w:r>
      <w:r>
        <w:rPr>
          <w:rFonts w:ascii="Arial Unicode MS" w:cs="Arial Unicode MS" w:hAnsi="Arial Unicode MS" w:eastAsia="Arial Unicode MS"/>
          <w:b w:val="0"/>
          <w:bCs w:val="0"/>
          <w:i w:val="0"/>
          <w:iCs w:val="0"/>
          <w:rtl w:val="0"/>
          <w:lang w:val="en-US"/>
        </w:rPr>
        <w:t>o, Dear Tomorrow for euphonium and piano by Klemens Vetter, Departure for trombone, tuba, and piano quartet by members of the Portugal Symphony, and a feature disc of the piano reductions of his three woodwind concerti</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it-IT"/>
        </w:rPr>
        <w:t>alto saxophone, piccolo, and bass clarinet.</w:t>
      </w:r>
    </w:p>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current projects include his Tuba Concerto No. 2 commissioned by a consortium of tubists, orchestras, and universities from around the world, and a new work for wind ensemble, both scheduled for premiere during the 2022-23 season.</w:t>
      </w:r>
    </w:p>
    <w:p>
      <w:pPr>
        <w:pStyle w:val="Body"/>
        <w:rPr>
          <w:rFonts w:ascii="BrandonGrotesque-Regular" w:cs="BrandonGrotesque-Regular" w:hAnsi="BrandonGrotesque-Regular" w:eastAsia="BrandonGrotesque-Regular"/>
        </w:rPr>
      </w:pPr>
    </w:p>
    <w:p>
      <w:pPr>
        <w:pStyle w:val="Body"/>
      </w:pPr>
      <w:r>
        <w:rPr>
          <w:rFonts w:ascii="Arial Unicode MS" w:cs="Arial Unicode MS" w:hAnsi="Arial Unicode MS" w:eastAsia="Arial Unicode MS"/>
          <w:b w:val="0"/>
          <w:bCs w:val="0"/>
          <w:i w:val="0"/>
          <w:iCs w:val="0"/>
          <w:rtl w:val="0"/>
          <w:lang w:val="en-US"/>
        </w:rPr>
        <w:t xml:space="preserve">Dr. Goodman now resides in Midland, Pennsylvania, with his wife, Katie, sons Emmerson and Foster, their St. Bernard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lang w:val="de-DE"/>
        </w:rPr>
        <w:t>Einstein,</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lang w:val="en-US"/>
        </w:rPr>
        <w:t xml:space="preserve">and their pug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rPr>
        <w:t>Peep.</w:t>
      </w:r>
      <w:r>
        <w:rPr>
          <w:rFonts w:ascii="Arial Unicode MS" w:cs="Arial Unicode MS" w:hAnsi="Arial Unicode MS" w:eastAsia="Arial Unicode MS" w:hint="default"/>
          <w:b w:val="0"/>
          <w:bCs w:val="0"/>
          <w:i w:val="0"/>
          <w:iCs w:val="0"/>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ndonGrotesque-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drawing xmlns:a="http://schemas.openxmlformats.org/drawingml/2006/main">
        <wp:inline distT="0" distB="0" distL="0" distR="0">
          <wp:extent cx="1992716" cy="89205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16784" t="18526" r="16784" b="18526"/>
                  <a:stretch>
                    <a:fillRect/>
                  </a:stretch>
                </pic:blipFill>
                <pic:spPr>
                  <a:xfrm>
                    <a:off x="0" y="0"/>
                    <a:ext cx="1992716" cy="892055"/>
                  </a:xfrm>
                  <a:prstGeom prst="rect">
                    <a:avLst/>
                  </a:prstGeom>
                  <a:ln w="12700" cap="flat">
                    <a:noFill/>
                    <a:miter lim="400000"/>
                  </a:ln>
                  <a:effectLst/>
                </pic:spPr>
              </pic:pic>
            </a:graphicData>
          </a:graphic>
        </wp:inline>
      </w:drawing>
    </w:r>
    <w:r>
      <w:tab/>
      <w:tab/>
    </w:r>
    <w:r>
      <w:rPr>
        <w:rFonts w:ascii="Arial Unicode MS" w:cs="Arial Unicode MS" w:hAnsi="Arial Unicode MS" w:eastAsia="Arial Unicode MS"/>
        <w:b w:val="0"/>
        <w:bCs w:val="0"/>
        <w:i w:val="0"/>
        <w:iCs w:val="0"/>
        <w:sz w:val="18"/>
        <w:szCs w:val="18"/>
        <w:rtl w:val="0"/>
        <w:lang w:val="en-US"/>
      </w:rPr>
      <w:t>Post Office Box 122</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rPr>
      <w:t>Midland, Pennsylvania 15059</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United States</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ToddGoodman@WrongNoteMedia.com</w:t>
    </w:r>
  </w:p>
  <w:p>
    <w:pPr>
      <w:pStyle w:val="Header &amp; Footer"/>
      <w:tabs>
        <w:tab w:val="center" w:pos="4680"/>
        <w:tab w:val="right" w:pos="9360"/>
        <w:tab w:val="clear" w:pos="9020"/>
      </w:tabs>
      <w:bidi w:val="0"/>
      <w:spacing w:line="288" w:lineRule="auto"/>
      <w:ind w:left="0" w:right="0" w:firstLine="0"/>
      <w:jc w:val="left"/>
      <w:rPr>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office: +1 412.253.2020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